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6B6B66"/>
          <w:sz w:val="16"/>
          <w:szCs w:val="16"/>
        </w:rPr>
        <w:t xml:space="preserve">TEMPLATE — CHECK AGAINST THE EXECUTED CONTRACT BEFORE USE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A1A1A"/>
          <w:sz w:val="34"/>
          <w:szCs w:val="34"/>
        </w:rPr>
        <w:t xml:space="preserve">Notice of delay</w:t>
      </w:r>
    </w:p>
    <w:p>
      <w:pPr>
        <w:spacing w:after="140"/>
      </w:pPr>
      <w:r>
        <w:rPr>
          <w:rFonts w:ascii="Arial" w:cs="Arial" w:eastAsia="Arial" w:hAnsi="Arial"/>
          <w:color w:val="6B6B66"/>
          <w:sz w:val="19"/>
          <w:szCs w:val="19"/>
        </w:rPr>
        <w:t xml:space="preserve">A skeleton for the primary notice under an extension of time provision. The recipient, the delivery method, the window and the required content are all contractual — this document fixes the four things a notice has to carry on any form, and nothing more.</w:t>
      </w:r>
    </w:p>
    <w:p>
      <w:pPr>
        <w:pBdr>
          <w:bottom w:val="single" w:color="CCCCC6" w:sz="6"/>
        </w:pBdr>
        <w:spacing w:after="220"/>
      </w:pPr>
      <w:r>
        <w:rPr>
          <w:sz w:val="2"/>
          <w:szCs w:val="2"/>
        </w:rPr>
        <w:t xml:space="preserve"/>
      </w:r>
    </w:p>
    <w:p>
      <w:pPr>
        <w:spacing w:after="140" w:before="280"/>
      </w:pPr>
      <w:r>
        <w:rPr>
          <w:rFonts w:ascii="Arial" w:cs="Arial" w:eastAsia="Arial" w:hAnsi="Arial"/>
          <w:b/>
          <w:bCs/>
          <w:color w:val="6B6B66"/>
          <w:spacing w:val="30"/>
          <w:sz w:val="18"/>
          <w:szCs w:val="18"/>
        </w:rPr>
        <w:t xml:space="preserve">ADDRESSING AND DELIVERY</w:t>
      </w:r>
    </w:p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600"/>
        <w:gridCol w:w="7000"/>
      </w:tblGrid>
      <w:tr>
        <w:tc>
          <w:tcPr>
            <w:tcW w:type="dxa" w:w="26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To</w:t>
            </w:r>
          </w:p>
        </w:tc>
        <w:tc>
          <w:tcPr>
            <w:tcW w:type="dxa" w:w="70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The person named in the contract to receive notices — not the site team, and not the person you have been emailing.</w:t>
            </w:r>
          </w:p>
        </w:tc>
      </w:tr>
    </w:tbl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600"/>
        <w:gridCol w:w="7000"/>
      </w:tblGrid>
      <w:tr>
        <w:tc>
          <w:tcPr>
            <w:tcW w:type="dxa" w:w="26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Copy to</w:t>
            </w:r>
          </w:p>
        </w:tc>
        <w:tc>
          <w:tcPr>
            <w:tcW w:type="dxa" w:w="70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Contract Administrator / Engineer / Superintendent / Project Manager / Consultant, as the form requires.</w:t>
            </w:r>
          </w:p>
        </w:tc>
      </w:tr>
    </w:tbl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600"/>
        <w:gridCol w:w="7000"/>
      </w:tblGrid>
      <w:tr>
        <w:tc>
          <w:tcPr>
            <w:tcW w:type="dxa" w:w="26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From</w:t>
            </w:r>
          </w:p>
        </w:tc>
        <w:tc>
          <w:tcPr>
            <w:tcW w:type="dxa" w:w="70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The contracting entity named in the agreement.</w:t>
            </w:r>
          </w:p>
        </w:tc>
      </w:tr>
    </w:tbl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600"/>
        <w:gridCol w:w="7000"/>
      </w:tblGrid>
      <w:tr>
        <w:tc>
          <w:tcPr>
            <w:tcW w:type="dxa" w:w="26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Delivery method</w:t>
            </w:r>
          </w:p>
        </w:tc>
        <w:tc>
          <w:tcPr>
            <w:tcW w:type="dxa" w:w="70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As the contract prescribes. Where it requires recorded or certified delivery, email alone will not do.</w:t>
            </w:r>
          </w:p>
        </w:tc>
      </w:tr>
    </w:tbl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600"/>
        <w:gridCol w:w="7000"/>
      </w:tblGrid>
      <w:tr>
        <w:tc>
          <w:tcPr>
            <w:tcW w:type="dxa" w:w="26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Date served</w:t>
            </w:r>
          </w:p>
        </w:tc>
        <w:tc>
          <w:tcPr>
            <w:tcW w:type="dxa" w:w="70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And retain proof of what was sent, to whom, and when.</w:t>
            </w:r>
          </w:p>
        </w:tc>
      </w:tr>
    </w:tbl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600"/>
        <w:gridCol w:w="7000"/>
      </w:tblGrid>
      <w:tr>
        <w:tc>
          <w:tcPr>
            <w:tcW w:type="dxa" w:w="26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Notice reference</w:t>
            </w:r>
          </w:p>
        </w:tc>
        <w:tc>
          <w:tcPr>
            <w:tcW w:type="dxa" w:w="70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Sequential. A register reference makes the notice findable two years later.</w:t>
            </w:r>
          </w:p>
        </w:tc>
      </w:tr>
    </w:tbl>
    <w:p>
      <w:pPr>
        <w:spacing w:after="140" w:before="280"/>
      </w:pPr>
      <w:r>
        <w:rPr>
          <w:rFonts w:ascii="Arial" w:cs="Arial" w:eastAsia="Arial" w:hAnsi="Arial"/>
          <w:b/>
          <w:bCs/>
          <w:color w:val="6B6B66"/>
          <w:spacing w:val="30"/>
          <w:sz w:val="18"/>
          <w:szCs w:val="18"/>
        </w:rPr>
        <w:t xml:space="preserve">THE NOTICE</w:t>
      </w:r>
    </w:p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600"/>
        <w:gridCol w:w="7000"/>
      </w:tblGrid>
      <w:tr>
        <w:tc>
          <w:tcPr>
            <w:tcW w:type="dxa" w:w="26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Contract</w:t>
            </w:r>
          </w:p>
        </w:tc>
        <w:tc>
          <w:tcPr>
            <w:tcW w:type="dxa" w:w="70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Project, contract title, form and edition, and the date of the agreement.</w:t>
            </w:r>
          </w:p>
        </w:tc>
      </w:tr>
    </w:tbl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600"/>
        <w:gridCol w:w="7000"/>
      </w:tblGrid>
      <w:tr>
        <w:tc>
          <w:tcPr>
            <w:tcW w:type="dxa" w:w="26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Clause relied on</w:t>
            </w:r>
          </w:p>
        </w:tc>
        <w:tc>
          <w:tcPr>
            <w:tcW w:type="dxa" w:w="70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The specific clause. State it — a notice that does not identify its own clause invites the argument that it was not a notice at all.</w:t>
            </w:r>
          </w:p>
        </w:tc>
      </w:tr>
    </w:tbl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600"/>
        <w:gridCol w:w="7000"/>
      </w:tblGrid>
      <w:tr>
        <w:tc>
          <w:tcPr>
            <w:tcW w:type="dxa" w:w="26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The event</w:t>
            </w:r>
          </w:p>
        </w:tc>
        <w:tc>
          <w:tcPr>
            <w:tcW w:type="dxa" w:w="70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What happened, in one or two sentences of fact. No characterisation, no argument, no blame.</w:t>
            </w:r>
          </w:p>
        </w:tc>
      </w:tr>
    </w:tbl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600"/>
        <w:gridCol w:w="7000"/>
      </w:tblGrid>
      <w:tr>
        <w:tc>
          <w:tcPr>
            <w:tcW w:type="dxa" w:w="26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Date the event occurred</w:t>
            </w:r>
          </w:p>
        </w:tc>
        <w:tc>
          <w:tcPr>
            <w:tcW w:type="dxa" w:w="70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The date of the instruction, the condition, or the occurrence.</w:t>
            </w:r>
          </w:p>
        </w:tc>
      </w:tr>
    </w:tbl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600"/>
        <w:gridCol w:w="7000"/>
      </w:tblGrid>
      <w:tr>
        <w:tc>
          <w:tcPr>
            <w:tcW w:type="dxa" w:w="26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Date it became apparent</w:t>
            </w:r>
          </w:p>
        </w:tc>
        <w:tc>
          <w:tcPr>
            <w:tcW w:type="dxa" w:w="70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The date on which delay was, or should reasonably have been, apparent. On most forms this is the date the clock started; under CCDC 2 – 2020 GC 6.5.4 the clock runs from the commencement of the delay instead.</w:t>
            </w:r>
          </w:p>
        </w:tc>
      </w:tr>
    </w:tbl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600"/>
        <w:gridCol w:w="7000"/>
      </w:tblGrid>
      <w:tr>
        <w:tc>
          <w:tcPr>
            <w:tcW w:type="dxa" w:w="26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Works affected</w:t>
            </w:r>
          </w:p>
        </w:tc>
        <w:tc>
          <w:tcPr>
            <w:tcW w:type="dxa" w:w="70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The activities, areas or trades. Reference the programme activity IDs where you have them.</w:t>
            </w:r>
          </w:p>
        </w:tc>
      </w:tr>
    </w:tbl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600"/>
        <w:gridCol w:w="7000"/>
      </w:tblGrid>
      <w:tr>
        <w:tc>
          <w:tcPr>
            <w:tcW w:type="dxa" w:w="26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Effect on completion</w:t>
            </w:r>
          </w:p>
        </w:tc>
        <w:tc>
          <w:tcPr>
            <w:tcW w:type="dxa" w:w="70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Stated as an expectation at the date of the notice, and expressly reserved for later substantiation. A best estimate is not a warranty of the final claim.</w:t>
            </w:r>
          </w:p>
        </w:tc>
      </w:tr>
    </w:tbl>
    <w:p>
      <w:pPr>
        <w:spacing w:after="140" w:before="280"/>
      </w:pPr>
      <w:r>
        <w:rPr>
          <w:rFonts w:ascii="Arial" w:cs="Arial" w:eastAsia="Arial" w:hAnsi="Arial"/>
          <w:b/>
          <w:bCs/>
          <w:color w:val="6B6B66"/>
          <w:spacing w:val="30"/>
          <w:sz w:val="18"/>
          <w:szCs w:val="18"/>
        </w:rPr>
        <w:t xml:space="preserve">RESERVATION</w:t>
      </w:r>
    </w:p>
    <w:tbl>
      <w:tblPr>
        <w:tblW w:type="dxa" w:w="9600"/>
        <w:tblBorders>
          <w:top w:val="none"/>
          <w:left w:val="single" w:color="1A1A1A" w:sz="12"/>
          <w:bottom w:val="none"/>
          <w:right w:val="none"/>
          <w:insideH w:val="none"/>
          <w:insideV w:val="none"/>
        </w:tblBorders>
      </w:tblPr>
      <w:tblGrid>
        <w:gridCol w:w="9600"/>
      </w:tblGrid>
      <w:tr>
        <w:tc>
          <w:tcPr>
            <w:tcW w:type="dxa" w:w="9600"/>
            <w:shd w:fill="F4F4F2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Time and money are separate entitlements under separate clauses, and a reservation that covers only one of them concedes the other.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Reserve both, expressly: an extension of time under the clause identified above, and any associated cost, loss and expense under the clause that governs it — naming that second clause separately.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Where the same event is also a variation, a change or a compensation event, say so, and note that the corresponding notice is being served on its own deadline.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/>
      </w:r>
    </w:p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600"/>
        <w:gridCol w:w="7000"/>
      </w:tblGrid>
      <w:tr>
        <w:tc>
          <w:tcPr>
            <w:tcW w:type="dxa" w:w="26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Time reserved under</w:t>
            </w:r>
          </w:p>
        </w:tc>
        <w:tc>
          <w:tcPr>
            <w:tcW w:type="dxa" w:w="70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Clause reference.</w:t>
            </w:r>
          </w:p>
        </w:tc>
      </w:tr>
    </w:tbl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600"/>
        <w:gridCol w:w="7000"/>
      </w:tblGrid>
      <w:tr>
        <w:tc>
          <w:tcPr>
            <w:tcW w:type="dxa" w:w="26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Cost reserved under</w:t>
            </w:r>
          </w:p>
        </w:tc>
        <w:tc>
          <w:tcPr>
            <w:tcW w:type="dxa" w:w="70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Clause reference. Different clause, different deadline, and on several forms a different test.</w:t>
            </w:r>
          </w:p>
        </w:tc>
      </w:tr>
    </w:tbl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600"/>
        <w:gridCol w:w="7000"/>
      </w:tblGrid>
      <w:tr>
        <w:tc>
          <w:tcPr>
            <w:tcW w:type="dxa" w:w="26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Particulars to follow by</w:t>
            </w:r>
          </w:p>
        </w:tc>
        <w:tc>
          <w:tcPr>
            <w:tcW w:type="dxa" w:w="70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The contractual date for detailed particulars, where the form sets one — 84 days under FIDIC 2017 Sub-Clause 20.2.4, three weeks for an NEC4 quotation under clause 62.3.</w:t>
            </w:r>
          </w:p>
        </w:tc>
      </w:tr>
    </w:tbl>
    <w:p>
      <w:pPr>
        <w:spacing w:after="140" w:before="280"/>
      </w:pPr>
      <w:r>
        <w:rPr>
          <w:rFonts w:ascii="Arial" w:cs="Arial" w:eastAsia="Arial" w:hAnsi="Arial"/>
          <w:b/>
          <w:bCs/>
          <w:color w:val="6B6B66"/>
          <w:spacing w:val="30"/>
          <w:sz w:val="18"/>
          <w:szCs w:val="18"/>
        </w:rPr>
        <w:t xml:space="preserve">SIGNATURE</w:t>
      </w:r>
    </w:p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600"/>
        <w:gridCol w:w="7000"/>
      </w:tblGrid>
      <w:tr>
        <w:tc>
          <w:tcPr>
            <w:tcW w:type="dxa" w:w="26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Signed</w:t>
            </w:r>
          </w:p>
        </w:tc>
        <w:tc>
          <w:tcPr>
            <w:tcW w:type="dxa" w:w="70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600"/>
        <w:gridCol w:w="7000"/>
      </w:tblGrid>
      <w:tr>
        <w:tc>
          <w:tcPr>
            <w:tcW w:type="dxa" w:w="26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Name and position</w:t>
            </w:r>
          </w:p>
        </w:tc>
        <w:tc>
          <w:tcPr>
            <w:tcW w:type="dxa" w:w="70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600"/>
        <w:gridCol w:w="7000"/>
      </w:tblGrid>
      <w:tr>
        <w:tc>
          <w:tcPr>
            <w:tcW w:type="dxa" w:w="26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Date</w:t>
            </w:r>
          </w:p>
        </w:tc>
        <w:tc>
          <w:tcPr>
            <w:tcW w:type="dxa" w:w="70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/>
            </w:r>
          </w:p>
        </w:tc>
      </w:tr>
    </w:tbl>
    <w:p>
      <w:pPr>
        <w:spacing w:before="400"/>
      </w:pPr>
      <w:r>
        <w:rPr>
          <w:sz w:val="2"/>
          <w:szCs w:val="2"/>
        </w:rPr>
        <w:t xml:space="preserve"/>
      </w:r>
    </w:p>
    <w:p>
      <w:pPr>
        <w:pBdr>
          <w:bottom w:val="single" w:color="CCCCC6" w:sz="6"/>
        </w:pBdr>
        <w:spacing w:after="220"/>
      </w:pPr>
      <w:r>
        <w:rPr>
          <w:sz w:val="2"/>
          <w:szCs w:val="2"/>
        </w:rPr>
        <w:t xml:space="preserve"/>
      </w:r>
    </w:p>
    <w:p>
      <w:pPr>
        <w:spacing w:after="12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Four things to check before this notice leaves the office</w:t>
      </w:r>
    </w:p>
    <w:p>
      <w:pPr>
        <w:spacing w:after="100"/>
      </w:pPr>
      <w:r>
        <w:rPr>
          <w:rFonts w:ascii="Arial" w:cs="Arial" w:eastAsia="Arial" w:hAnsi="Arial"/>
          <w:color w:val="1A1A1A"/>
          <w:sz w:val="18"/>
          <w:szCs w:val="18"/>
        </w:rPr>
        <w:t xml:space="preserve">1.  The clause number and the window are read off the executed contract, not off a standard form. Bespoke amendment to extension of time provisions is the norm.</w:t>
      </w:r>
    </w:p>
    <w:p>
      <w:pPr>
        <w:spacing w:after="100"/>
      </w:pPr>
      <w:r>
        <w:rPr>
          <w:rFonts w:ascii="Arial" w:cs="Arial" w:eastAsia="Arial" w:hAnsi="Arial"/>
          <w:color w:val="1A1A1A"/>
          <w:sz w:val="18"/>
          <w:szCs w:val="18"/>
        </w:rPr>
        <w:t xml:space="preserve">2.  The recipient and the delivery method match what the contract requires. A valid notice served the wrong way is not a valid notice.</w:t>
      </w:r>
    </w:p>
    <w:p>
      <w:pPr>
        <w:spacing w:after="100"/>
      </w:pPr>
      <w:r>
        <w:rPr>
          <w:rFonts w:ascii="Arial" w:cs="Arial" w:eastAsia="Arial" w:hAnsi="Arial"/>
          <w:color w:val="1A1A1A"/>
          <w:sz w:val="18"/>
          <w:szCs w:val="18"/>
        </w:rPr>
        <w:t xml:space="preserve">3.  The notice is going out now, before the commercial position is settled. Waiting for the negotiation to resolve is the single most common way entitlement is lost.</w:t>
      </w:r>
    </w:p>
    <w:p>
      <w:pPr>
        <w:spacing w:after="100"/>
      </w:pPr>
      <w:r>
        <w:rPr>
          <w:rFonts w:ascii="Arial" w:cs="Arial" w:eastAsia="Arial" w:hAnsi="Arial"/>
          <w:color w:val="1A1A1A"/>
          <w:sz w:val="18"/>
          <w:szCs w:val="18"/>
        </w:rPr>
        <w:t xml:space="preserve">4.  Where the event is also a variation or a compensation event, that notice is being served too, on its own deadline.</w:t>
      </w:r>
    </w:p>
    <w:p>
      <w:pPr>
        <w:spacing w:after="0"/>
      </w:pPr>
      <w:r>
        <w:rPr>
          <w:rFonts w:ascii="Arial" w:cs="Arial" w:eastAsia="Arial" w:hAnsi="Arial"/>
          <w:i/>
          <w:iCs/>
          <w:color w:val="6B6B66"/>
          <w:sz w:val="16"/>
          <w:szCs w:val="16"/>
        </w:rPr>
        <w:t xml:space="preserve">This template is illustrative. It is not legal advice and it is not drafted for any particular contract.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2026-08-07T18:17:45.406Z</dcterms:created>
  <dcterms:modified xsi:type="dcterms:W3CDTF">2026-08-07T18:17:45.420Z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