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6B6B66"/>
          <w:sz w:val="16"/>
          <w:szCs w:val="16"/>
        </w:rPr>
        <w:t xml:space="preserve">TEMPLATE — CHECK AGAINST THE EXECUTED CONTRACT BEFORE USE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Variation claim — submission checklist</w:t>
      </w:r>
    </w:p>
    <w:p>
      <w:pPr>
        <w:spacing w:after="140"/>
      </w:pPr>
      <w:r>
        <w:rPr>
          <w:rFonts w:ascii="Arial" w:cs="Arial" w:eastAsia="Arial" w:hAnsi="Arial"/>
          <w:color w:val="6B6B66"/>
          <w:sz w:val="19"/>
          <w:szCs w:val="19"/>
        </w:rPr>
        <w:t xml:space="preserve">What a substantiated variation claim carries, organised by the five elements it has to establish. Tick nothing you cannot point to a document for.</w:t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1 — THE WORK IS OUTSIDE THE CONTRACT SCOPE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contract clause or drawing said to exclude the work, quoted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Scope is a question of contract construction, not of fairness or of how the parties behaved on site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For a design and build job, the specific Employer's Requirements clause relied on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Anchor to a level of definition, not to RIBA-stage rhetoric. A stage statement is not a warranty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Confirmation this is not underestimation of a lump sum scope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Getting the quantity wrong is the contractor's risk. Remeasurement gives the opposite answer on the same facts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Where a provisional sum is involved, whether it was defined or undefined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Expenditure of a provisional sum is valued, not varied, and the programme consequence follows from the definition status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2 — THE CHANGE WAS INSTRUCTED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written instruction, or the confirmation letter that converted an oral direction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commonest failure of all, and the most avoidable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Evidence that the person who gave it holds the contractual authority to instruct changes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Authority is a separate question from writing, and on US public work it is a limit on capacity that estoppel cannot cure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date, checked against the contractual cut-off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window closes. Under FIDIC Red Book 2017 (reprinted 2022) Sub-Clause 13.1, before the Taking-Over Certificate issues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Where there is no instruction, the alternative route identified and pleaded in order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Instructed variation, then deemed or constructive, then waiver or estoppel, then restitution. Pleading restitution first concedes the ground you want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3 — PROCEDURAL COMPLIANCE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notice that the direction is regarded as a change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Three notices are required and claimants habitually give one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notice of price effect, on its own clause and its own deadline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extension of time notice, on a third clause and a third deadline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Missing the time notice does not defeat the valuation, and missing the valuation notice does not defeat the time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quotation, where a quotation procedure applies — priced for time and loss and expense, not only the direct work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Acceptance of a quotation is a final and inclusive settlement. A contractor that quotes only the direct work has settled the rest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Proof of what was sent, to whom and when, for each of them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4 — VALUATION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rung of the pricing ladder relied on, and why the rungs above it do not apply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You may not skip a rung because the answer further up suits you better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Where a new rate is claimed, the contractual trigger satisfied and shown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FIDIC 2017 clause 12.3 sets numeric thresholds; JCT sets a judgment standard. They are different arguments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build-up, from first principles where a fair valuation is claimed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fair valuation includes profit. It does not include head office overhead or prolongation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Daywork records signed contemporaneously, if the daywork rung is reached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Daywork claims fail on records rather than on principle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Preliminaries treated once, and once only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valuation prices the changed work. Thickened and prolonged preliminaries travel by a different route under every form except NEC4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ELEMENT 5 — THE CLAIM SURVIVES WHAT CAME AFTER</w:t>
      </w:r>
    </w:p>
    <w:tbl>
      <w:tblPr>
        <w:tblW w:type="dxa" w:w="9600"/>
        <w:tblBorders>
          <w:top w:val="single" w:color="DDDDD8" w:sz="4"/>
          <w:left w:val="none"/>
          <w:bottom w:val="single" w:color="DDDDD8" w:sz="4"/>
          <w:right w:val="none"/>
          <w:insideH w:val="single" w:color="E8E8E4" w:sz="2"/>
          <w:insideV w:val="none"/>
        </w:tblBorders>
      </w:tblPr>
      <w:tblGrid>
        <w:gridCol w:w="900"/>
        <w:gridCol w:w="5300"/>
        <w:gridCol w:w="3400"/>
      </w:tblGrid>
      <w:tr>
        <w:trPr>
          <w:tblHeader/>
        </w:trPr>
        <w:tc>
          <w:tcPr>
            <w:tcW w:type="dxa" w:w="9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/>
            </w:r>
          </w:p>
        </w:tc>
        <w:tc>
          <w:tcPr>
            <w:tcW w:type="dxa" w:w="53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What the submission carries</w:t>
            </w:r>
          </w:p>
        </w:tc>
        <w:tc>
          <w:tcPr>
            <w:tcW w:type="dxa" w:w="3400"/>
            <w:shd w:fill="F4F4F2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6B6B66"/>
                <w:sz w:val="17"/>
                <w:szCs w:val="17"/>
              </w:rPr>
              <w:t xml:space="preserve">Why it is asked for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Every executed change order reviewed for release language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Impact claims die in signed change orders, not in tribunals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reservation in the instrument itself, naming the claim, the event and the head of loss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footer or a covering email is weaker than a reservation inside the document that carries the release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reservation repeated on every subsequent change order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 later unreserved signature can destroy an earlier reservation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impact on unchanged work identified and reserved by name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This is the head that gets released by accident</w:t>
            </w:r>
          </w:p>
        </w:tc>
      </w:tr>
      <w:tr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☐</w:t>
            </w:r>
          </w:p>
        </w:tc>
        <w:tc>
          <w:tcPr>
            <w:tcW w:type="dxa" w:w="53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The cumulative impact claim kept structured, not allowed to become a global claim</w:t>
            </w:r>
          </w:p>
        </w:tc>
        <w:tc>
          <w:tcPr>
            <w:tcW w:type="dxa" w:w="3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Cumulative impact is a recognised head with a recognised structure; a global claim is a pleading of last resort</w:t>
            </w:r>
          </w:p>
        </w:tc>
      </w:tr>
    </w:tbl>
    <w:p>
      <w:pPr>
        <w:spacing w:before="340"/>
      </w:pPr>
      <w:r>
        <w:rPr>
          <w:sz w:val="2"/>
          <w:szCs w:val="2"/>
        </w:rPr>
        <w:t xml:space="preserve"/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0"/>
      </w:pPr>
      <w:r>
        <w:rPr>
          <w:rFonts w:ascii="Arial" w:cs="Arial" w:eastAsia="Arial" w:hAnsi="Arial"/>
          <w:i/>
          <w:iCs/>
          <w:color w:val="6B6B66"/>
          <w:sz w:val="16"/>
          <w:szCs w:val="16"/>
        </w:rPr>
        <w:t xml:space="preserve">This checklist is illustrative and jurisdiction-neutral. It is not legal advice, and the deadlines and clause references above are form-defaults that must be replaced with the ones in the executed contract.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2026-08-07T19:38:23.352Z</dcterms:created>
  <dcterms:modified xsi:type="dcterms:W3CDTF">2026-08-07T19:38:23.352Z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